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3EE" w:rsidRDefault="00D10564">
      <w:pPr>
        <w:rPr>
          <w:b/>
          <w:sz w:val="36"/>
          <w:szCs w:val="36"/>
        </w:rPr>
      </w:pPr>
      <w:r>
        <w:rPr>
          <w:noProof/>
        </w:rPr>
        <w:drawing>
          <wp:anchor distT="0" distB="0" distL="114300" distR="114300" simplePos="0" relativeHeight="251659264" behindDoc="1" locked="0" layoutInCell="1" allowOverlap="1" wp14:anchorId="54F60A78" wp14:editId="7DFC7315">
            <wp:simplePos x="0" y="0"/>
            <wp:positionH relativeFrom="column">
              <wp:posOffset>7239000</wp:posOffset>
            </wp:positionH>
            <wp:positionV relativeFrom="paragraph">
              <wp:posOffset>-100330</wp:posOffset>
            </wp:positionV>
            <wp:extent cx="1356995" cy="1169670"/>
            <wp:effectExtent l="0" t="0" r="0" b="0"/>
            <wp:wrapNone/>
            <wp:docPr id="10" name="Picture 10"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6"/>
                    <a:srcRect/>
                    <a:stretch>
                      <a:fillRect/>
                    </a:stretch>
                  </pic:blipFill>
                  <pic:spPr bwMode="auto">
                    <a:xfrm>
                      <a:off x="0" y="0"/>
                      <a:ext cx="1356995" cy="1169670"/>
                    </a:xfrm>
                    <a:prstGeom prst="rect">
                      <a:avLst/>
                    </a:prstGeom>
                    <a:noFill/>
                    <a:ln w="9525">
                      <a:noFill/>
                      <a:miter lim="800000"/>
                      <a:headEnd/>
                      <a:tailEnd/>
                    </a:ln>
                  </pic:spPr>
                </pic:pic>
              </a:graphicData>
            </a:graphic>
          </wp:anchor>
        </w:drawing>
      </w:r>
      <w:r w:rsidR="00595E0F">
        <w:t xml:space="preserve"> </w:t>
      </w:r>
      <w:r w:rsidR="006B0B49">
        <w:t xml:space="preserve"> </w:t>
      </w:r>
      <w:r w:rsidR="006B0B49">
        <w:rPr>
          <w:b/>
          <w:sz w:val="36"/>
          <w:szCs w:val="36"/>
        </w:rPr>
        <w:t>Catch-Up Premium Plan</w:t>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p>
    <w:p w:rsidR="00D10564" w:rsidRDefault="006B0B49" w:rsidP="00D10564">
      <w:pPr>
        <w:rPr>
          <w:b/>
          <w:sz w:val="36"/>
          <w:szCs w:val="36"/>
        </w:rPr>
      </w:pPr>
      <w:r>
        <w:rPr>
          <w:b/>
          <w:sz w:val="36"/>
          <w:szCs w:val="36"/>
        </w:rPr>
        <w:t xml:space="preserve"> </w:t>
      </w:r>
      <w:r w:rsidR="00595E0F">
        <w:rPr>
          <w:b/>
          <w:sz w:val="36"/>
          <w:szCs w:val="36"/>
        </w:rPr>
        <w:t xml:space="preserve">Our Lady and St Philomena’s Catholic </w:t>
      </w:r>
      <w:r>
        <w:rPr>
          <w:b/>
          <w:sz w:val="36"/>
          <w:szCs w:val="36"/>
        </w:rPr>
        <w:t xml:space="preserve">Primary School  </w:t>
      </w:r>
      <w:r w:rsidR="00D10564">
        <w:tab/>
        <w:t xml:space="preserve">           </w:t>
      </w:r>
      <w:r w:rsidR="00D10564">
        <w:rPr>
          <w:b/>
        </w:rPr>
        <w:t xml:space="preserve">                                        </w:t>
      </w:r>
    </w:p>
    <w:p w:rsidR="00D10564" w:rsidRDefault="00D10564" w:rsidP="00D10564">
      <w:pPr>
        <w:pStyle w:val="Header"/>
        <w:rPr>
          <w:b/>
          <w:caps/>
          <w:sz w:val="32"/>
          <w:szCs w:val="32"/>
        </w:rPr>
      </w:pPr>
    </w:p>
    <w:p w:rsidR="00C213EE" w:rsidRDefault="00C213EE">
      <w:pPr>
        <w:spacing w:after="240"/>
        <w:rPr>
          <w:b/>
          <w:color w:val="FFFFFF"/>
          <w:sz w:val="12"/>
          <w:szCs w:val="12"/>
        </w:rPr>
      </w:pPr>
    </w:p>
    <w:tbl>
      <w:tblPr>
        <w:tblStyle w:val="a"/>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276"/>
        <w:gridCol w:w="3632"/>
        <w:gridCol w:w="1471"/>
        <w:gridCol w:w="4819"/>
        <w:gridCol w:w="1559"/>
      </w:tblGrid>
      <w:tr w:rsidR="00C213EE" w:rsidTr="00595E0F">
        <w:tc>
          <w:tcPr>
            <w:tcW w:w="15417" w:type="dxa"/>
            <w:gridSpan w:val="6"/>
            <w:shd w:val="clear" w:color="auto" w:fill="4F81BD" w:themeFill="accent1"/>
            <w:tcMar>
              <w:top w:w="57" w:type="dxa"/>
              <w:bottom w:w="57" w:type="dxa"/>
            </w:tcMar>
          </w:tcPr>
          <w:p w:rsidR="00C213EE" w:rsidRDefault="006B0B49">
            <w:pPr>
              <w:rPr>
                <w:b/>
                <w:color w:val="FFFFFF"/>
                <w:sz w:val="24"/>
                <w:szCs w:val="24"/>
              </w:rPr>
            </w:pPr>
            <w:r>
              <w:rPr>
                <w:b/>
                <w:color w:val="FFFFFF"/>
                <w:sz w:val="24"/>
                <w:szCs w:val="24"/>
              </w:rPr>
              <w:t>Summary information</w:t>
            </w:r>
          </w:p>
        </w:tc>
      </w:tr>
      <w:tr w:rsidR="00C213EE">
        <w:tc>
          <w:tcPr>
            <w:tcW w:w="2660" w:type="dxa"/>
            <w:tcMar>
              <w:top w:w="57" w:type="dxa"/>
              <w:bottom w:w="57" w:type="dxa"/>
            </w:tcMar>
          </w:tcPr>
          <w:p w:rsidR="00C213EE" w:rsidRDefault="006B0B49">
            <w:pPr>
              <w:rPr>
                <w:b/>
              </w:rPr>
            </w:pPr>
            <w:r>
              <w:rPr>
                <w:b/>
              </w:rPr>
              <w:t>School</w:t>
            </w:r>
          </w:p>
        </w:tc>
        <w:tc>
          <w:tcPr>
            <w:tcW w:w="12757" w:type="dxa"/>
            <w:gridSpan w:val="5"/>
            <w:tcMar>
              <w:top w:w="57" w:type="dxa"/>
              <w:bottom w:w="57" w:type="dxa"/>
            </w:tcMar>
          </w:tcPr>
          <w:p w:rsidR="00C213EE" w:rsidRDefault="00D10564">
            <w:r>
              <w:t>Our Lady and St Philomena’s Catholic</w:t>
            </w:r>
            <w:r w:rsidR="006B0B49">
              <w:t xml:space="preserve"> Primary School </w:t>
            </w:r>
          </w:p>
        </w:tc>
      </w:tr>
      <w:tr w:rsidR="00C213EE">
        <w:trPr>
          <w:trHeight w:val="326"/>
        </w:trPr>
        <w:tc>
          <w:tcPr>
            <w:tcW w:w="2660" w:type="dxa"/>
            <w:tcMar>
              <w:top w:w="57" w:type="dxa"/>
              <w:bottom w:w="57" w:type="dxa"/>
            </w:tcMar>
          </w:tcPr>
          <w:p w:rsidR="00C213EE" w:rsidRDefault="006B0B49">
            <w:pPr>
              <w:rPr>
                <w:b/>
              </w:rPr>
            </w:pPr>
            <w:r>
              <w:rPr>
                <w:b/>
              </w:rPr>
              <w:t>Academic Year</w:t>
            </w:r>
          </w:p>
        </w:tc>
        <w:tc>
          <w:tcPr>
            <w:tcW w:w="1276" w:type="dxa"/>
            <w:tcMar>
              <w:top w:w="57" w:type="dxa"/>
              <w:bottom w:w="57" w:type="dxa"/>
            </w:tcMar>
          </w:tcPr>
          <w:p w:rsidR="00C213EE" w:rsidRDefault="006B0B49">
            <w:r>
              <w:t>2020-21</w:t>
            </w:r>
          </w:p>
        </w:tc>
        <w:tc>
          <w:tcPr>
            <w:tcW w:w="3632" w:type="dxa"/>
          </w:tcPr>
          <w:p w:rsidR="00C213EE" w:rsidRDefault="006B0B49">
            <w:pPr>
              <w:rPr>
                <w:highlight w:val="yellow"/>
              </w:rPr>
            </w:pPr>
            <w:r>
              <w:rPr>
                <w:b/>
              </w:rPr>
              <w:t>Total Catch-Up Premium</w:t>
            </w:r>
          </w:p>
        </w:tc>
        <w:tc>
          <w:tcPr>
            <w:tcW w:w="1471" w:type="dxa"/>
          </w:tcPr>
          <w:p w:rsidR="00C213EE" w:rsidRDefault="006B0B49" w:rsidP="00ED3649">
            <w:pPr>
              <w:rPr>
                <w:color w:val="000000"/>
              </w:rPr>
            </w:pPr>
            <w:r>
              <w:t>£</w:t>
            </w:r>
            <w:r w:rsidR="00D10564">
              <w:rPr>
                <w:color w:val="000000"/>
              </w:rPr>
              <w:t>15</w:t>
            </w:r>
            <w:r>
              <w:rPr>
                <w:color w:val="000000"/>
              </w:rPr>
              <w:t>,</w:t>
            </w:r>
            <w:r w:rsidR="00ED3649">
              <w:rPr>
                <w:color w:val="000000"/>
              </w:rPr>
              <w:t>12</w:t>
            </w:r>
            <w:r>
              <w:rPr>
                <w:color w:val="000000"/>
              </w:rPr>
              <w:t xml:space="preserve">0 </w:t>
            </w:r>
          </w:p>
        </w:tc>
        <w:tc>
          <w:tcPr>
            <w:tcW w:w="4819" w:type="dxa"/>
          </w:tcPr>
          <w:p w:rsidR="00C213EE" w:rsidRDefault="006B0B49" w:rsidP="00C13A1C">
            <w:r>
              <w:rPr>
                <w:b/>
              </w:rPr>
              <w:t>Number of pupils</w:t>
            </w:r>
            <w:r w:rsidR="00D10564">
              <w:rPr>
                <w:b/>
              </w:rPr>
              <w:t xml:space="preserve"> </w:t>
            </w:r>
          </w:p>
        </w:tc>
        <w:tc>
          <w:tcPr>
            <w:tcW w:w="1559" w:type="dxa"/>
          </w:tcPr>
          <w:p w:rsidR="00C213EE" w:rsidRPr="00C13A1C" w:rsidRDefault="00C13A1C">
            <w:r w:rsidRPr="00C13A1C">
              <w:t>210</w:t>
            </w:r>
          </w:p>
        </w:tc>
      </w:tr>
    </w:tbl>
    <w:p w:rsidR="00C213EE" w:rsidRDefault="00C213EE">
      <w:pPr>
        <w:rPr>
          <w:sz w:val="16"/>
          <w:szCs w:val="16"/>
        </w:rPr>
      </w:pPr>
    </w:p>
    <w:tbl>
      <w:tblPr>
        <w:tblStyle w:val="a0"/>
        <w:tblW w:w="15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12"/>
      </w:tblGrid>
      <w:tr w:rsidR="00C213EE" w:rsidTr="00595E0F">
        <w:trPr>
          <w:trHeight w:val="225"/>
        </w:trPr>
        <w:tc>
          <w:tcPr>
            <w:tcW w:w="15412" w:type="dxa"/>
            <w:shd w:val="clear" w:color="auto" w:fill="4F81BD" w:themeFill="accent1"/>
            <w:tcMar>
              <w:top w:w="57" w:type="dxa"/>
              <w:bottom w:w="57" w:type="dxa"/>
            </w:tcMar>
          </w:tcPr>
          <w:p w:rsidR="00C213EE" w:rsidRDefault="006B0B49">
            <w:pPr>
              <w:spacing w:after="120"/>
              <w:rPr>
                <w:color w:val="FFFFFF"/>
                <w:sz w:val="24"/>
                <w:szCs w:val="24"/>
              </w:rPr>
            </w:pPr>
            <w:r>
              <w:rPr>
                <w:b/>
                <w:color w:val="FFFFFF"/>
                <w:sz w:val="24"/>
                <w:szCs w:val="24"/>
              </w:rPr>
              <w:t>Guidance</w:t>
            </w:r>
          </w:p>
        </w:tc>
      </w:tr>
      <w:tr w:rsidR="00C213EE">
        <w:trPr>
          <w:trHeight w:val="755"/>
        </w:trPr>
        <w:tc>
          <w:tcPr>
            <w:tcW w:w="15412" w:type="dxa"/>
            <w:tcMar>
              <w:top w:w="57" w:type="dxa"/>
              <w:bottom w:w="57" w:type="dxa"/>
            </w:tcMar>
          </w:tcPr>
          <w:p w:rsidR="00C213EE" w:rsidRDefault="00C213EE">
            <w:pPr>
              <w:rPr>
                <w:color w:val="0B0C0C"/>
                <w:highlight w:val="white"/>
              </w:rPr>
            </w:pPr>
          </w:p>
          <w:p w:rsidR="00C213EE" w:rsidRDefault="006B0B49">
            <w:pPr>
              <w:rPr>
                <w:color w:val="0B0C0C"/>
                <w:highlight w:val="white"/>
              </w:rPr>
            </w:pPr>
            <w:r>
              <w:rPr>
                <w:color w:val="0B0C0C"/>
                <w:highlight w:val="white"/>
              </w:rPr>
              <w:t>Children and young people across the country have experienced unprecedented disruption to their education as a result of coronavirus (COVID-19). Those from the most vulnerable and disadvantaged backgrounds will be among those hardest hit. The aggregate impact of lost time in education will be substantial, and the scale of our response must match the scale of the challenge.</w:t>
            </w:r>
          </w:p>
          <w:p w:rsidR="00C213EE" w:rsidRDefault="00C213EE">
            <w:pPr>
              <w:rPr>
                <w:color w:val="0B0C0C"/>
                <w:highlight w:val="white"/>
              </w:rPr>
            </w:pPr>
          </w:p>
          <w:p w:rsidR="00C213EE" w:rsidRDefault="006B0B49">
            <w:pPr>
              <w:rPr>
                <w:color w:val="0B0C0C"/>
                <w:highlight w:val="white"/>
              </w:rPr>
            </w:pPr>
            <w:r>
              <w:rPr>
                <w:color w:val="0B0C0C"/>
                <w:highlight w:val="white"/>
              </w:rPr>
              <w:t xml:space="preserve">Schools’ allocations will be calculated on a per pupil basis, providing each mainstream school with a total of £80 for each pupil in years </w:t>
            </w:r>
            <w:r w:rsidR="00D10564">
              <w:rPr>
                <w:color w:val="0B0C0C"/>
                <w:highlight w:val="white"/>
              </w:rPr>
              <w:t>R</w:t>
            </w:r>
            <w:r>
              <w:rPr>
                <w:color w:val="0B0C0C"/>
                <w:highlight w:val="white"/>
              </w:rPr>
              <w:t>eception through to 11.</w:t>
            </w:r>
          </w:p>
          <w:p w:rsidR="00C213EE" w:rsidRDefault="00C213EE">
            <w:pPr>
              <w:rPr>
                <w:color w:val="0B0C0C"/>
                <w:highlight w:val="white"/>
              </w:rPr>
            </w:pPr>
          </w:p>
          <w:p w:rsidR="00C213EE" w:rsidRDefault="006B0B49">
            <w:pPr>
              <w:rPr>
                <w:color w:val="0B0C0C"/>
                <w:highlight w:val="white"/>
              </w:rPr>
            </w:pPr>
            <w:r>
              <w:rPr>
                <w:color w:val="0B0C0C"/>
                <w:highlight w:val="white"/>
              </w:rPr>
              <w:t>As the catch-up premium has been designed to mitigate the effects of the unique disruption caused by coronavirus (COVID-19), the grant will only be available for the 2020 to 2021 academic year. It will not be added to schools’ baselines in calculating future years’ funding allocations.</w:t>
            </w:r>
          </w:p>
          <w:p w:rsidR="00C213EE" w:rsidRDefault="00C213EE"/>
        </w:tc>
      </w:tr>
      <w:tr w:rsidR="00D10564" w:rsidTr="000D6D4C">
        <w:trPr>
          <w:trHeight w:val="332"/>
        </w:trPr>
        <w:tc>
          <w:tcPr>
            <w:tcW w:w="15412" w:type="dxa"/>
            <w:shd w:val="clear" w:color="auto" w:fill="4F81BD" w:themeFill="accent1"/>
            <w:tcMar>
              <w:top w:w="57" w:type="dxa"/>
              <w:bottom w:w="57" w:type="dxa"/>
            </w:tcMar>
          </w:tcPr>
          <w:p w:rsidR="00D10564" w:rsidRDefault="00D10564" w:rsidP="00D10564">
            <w:pPr>
              <w:rPr>
                <w:b/>
                <w:color w:val="FFFFFF"/>
                <w:sz w:val="24"/>
                <w:szCs w:val="24"/>
              </w:rPr>
            </w:pPr>
            <w:r>
              <w:rPr>
                <w:b/>
                <w:color w:val="FFFFFF"/>
                <w:sz w:val="24"/>
                <w:szCs w:val="24"/>
              </w:rPr>
              <w:t>Use of Funds</w:t>
            </w:r>
          </w:p>
        </w:tc>
      </w:tr>
      <w:tr w:rsidR="00D10564" w:rsidTr="00FA678B">
        <w:trPr>
          <w:trHeight w:val="755"/>
        </w:trPr>
        <w:tc>
          <w:tcPr>
            <w:tcW w:w="15412" w:type="dxa"/>
            <w:tcMar>
              <w:top w:w="57" w:type="dxa"/>
              <w:bottom w:w="57" w:type="dxa"/>
            </w:tcMar>
          </w:tcPr>
          <w:p w:rsidR="00D10564" w:rsidRPr="00D10564" w:rsidRDefault="00D10564">
            <w:pPr>
              <w:pBdr>
                <w:top w:val="nil"/>
                <w:left w:val="nil"/>
                <w:bottom w:val="nil"/>
                <w:right w:val="nil"/>
                <w:between w:val="nil"/>
              </w:pBdr>
              <w:shd w:val="clear" w:color="auto" w:fill="FFFFFF"/>
              <w:rPr>
                <w:rFonts w:asciiTheme="minorHAnsi" w:hAnsiTheme="minorHAnsi"/>
                <w:color w:val="0B0C0C"/>
              </w:rPr>
            </w:pPr>
          </w:p>
          <w:p w:rsidR="00D10564" w:rsidRPr="00D10564" w:rsidRDefault="00D10564" w:rsidP="00D10564">
            <w:pPr>
              <w:shd w:val="clear" w:color="auto" w:fill="FFFFFF"/>
              <w:rPr>
                <w:rFonts w:asciiTheme="minorHAnsi" w:hAnsiTheme="minorHAnsi"/>
                <w:color w:val="0B0C0C"/>
              </w:rPr>
            </w:pPr>
            <w:r w:rsidRPr="00D10564">
              <w:rPr>
                <w:rFonts w:asciiTheme="minorHAnsi" w:hAnsiTheme="minorHAnsi"/>
                <w:color w:val="0B0C0C"/>
              </w:rPr>
              <w:t>We are currently in the process of utilising the funds to purchase 45 iPads which will support all pupils in our school. Children’s learning will be enhanced using teacher directed progams.</w:t>
            </w:r>
          </w:p>
          <w:p w:rsidR="00D10564" w:rsidRPr="00D10564" w:rsidRDefault="00D10564" w:rsidP="00D10564">
            <w:pPr>
              <w:pBdr>
                <w:top w:val="nil"/>
                <w:left w:val="nil"/>
                <w:bottom w:val="nil"/>
                <w:right w:val="nil"/>
                <w:between w:val="nil"/>
              </w:pBdr>
              <w:shd w:val="clear" w:color="auto" w:fill="FFFFFF"/>
              <w:rPr>
                <w:rFonts w:asciiTheme="minorHAnsi" w:eastAsia="Arial" w:hAnsiTheme="minorHAnsi" w:cs="Arial"/>
                <w:color w:val="0B0C0C"/>
              </w:rPr>
            </w:pPr>
          </w:p>
          <w:p w:rsidR="00D10564" w:rsidRPr="00D10564" w:rsidRDefault="00D10564" w:rsidP="00D10564">
            <w:pPr>
              <w:shd w:val="clear" w:color="auto" w:fill="FFFFFF"/>
              <w:rPr>
                <w:rFonts w:asciiTheme="minorHAnsi" w:hAnsiTheme="minorHAnsi"/>
                <w:color w:val="0B0C0C"/>
              </w:rPr>
            </w:pPr>
            <w:r w:rsidRPr="00D10564">
              <w:rPr>
                <w:rFonts w:asciiTheme="minorHAnsi" w:hAnsiTheme="minorHAnsi"/>
                <w:color w:val="0B0C0C"/>
              </w:rPr>
              <w:t>In a survey conducted in September 2020 from Years 1 to 6 inclusive, only 31% of pupils have a device at home to facilitate blended learning on line. When not in use for home online learning the iPads will be used in school for independent research across the curriculum. By so doing, we are utilising the funds allocated according to the principles of best value, and having extra resources for both home and school learning.</w:t>
            </w:r>
          </w:p>
          <w:p w:rsidR="00D10564" w:rsidRPr="00D10564" w:rsidRDefault="00D10564" w:rsidP="00D10564">
            <w:pPr>
              <w:shd w:val="clear" w:color="auto" w:fill="FFFFFF"/>
              <w:rPr>
                <w:rFonts w:asciiTheme="minorHAnsi" w:hAnsiTheme="minorHAnsi"/>
                <w:color w:val="0B0C0C"/>
              </w:rPr>
            </w:pPr>
          </w:p>
          <w:p w:rsidR="00D10564" w:rsidRPr="00D10564" w:rsidRDefault="00D10564" w:rsidP="00D10564">
            <w:pPr>
              <w:shd w:val="clear" w:color="auto" w:fill="FFFFFF"/>
              <w:rPr>
                <w:rFonts w:asciiTheme="minorHAnsi" w:hAnsiTheme="minorHAnsi"/>
                <w:color w:val="0B0C0C"/>
              </w:rPr>
            </w:pPr>
            <w:r w:rsidRPr="00D10564">
              <w:rPr>
                <w:rFonts w:asciiTheme="minorHAnsi" w:hAnsiTheme="minorHAnsi"/>
                <w:color w:val="0B0C0C"/>
              </w:rPr>
              <w:t xml:space="preserve">The impact of this expenditure will be monitored and evaluated by teachers observing pupil engagement at home with online learning and monitoring Pupil Progress measuring the rate of attainment and progress based on NFER Tests conducted in Autumn 1. </w:t>
            </w:r>
          </w:p>
          <w:p w:rsidR="00D10564" w:rsidRPr="00D10564" w:rsidRDefault="00D10564" w:rsidP="00D10564">
            <w:pPr>
              <w:shd w:val="clear" w:color="auto" w:fill="FFFFFF"/>
              <w:rPr>
                <w:rFonts w:asciiTheme="minorHAnsi" w:hAnsiTheme="minorHAnsi"/>
                <w:color w:val="0B0C0C"/>
              </w:rPr>
            </w:pPr>
          </w:p>
          <w:p w:rsidR="00D10564" w:rsidRPr="00D10564" w:rsidRDefault="00D10564" w:rsidP="00D10564">
            <w:pPr>
              <w:shd w:val="clear" w:color="auto" w:fill="FFFFFF"/>
              <w:rPr>
                <w:rFonts w:asciiTheme="minorHAnsi" w:hAnsiTheme="minorHAnsi"/>
              </w:rPr>
            </w:pPr>
            <w:r w:rsidRPr="00D10564">
              <w:rPr>
                <w:rFonts w:asciiTheme="minorHAnsi" w:hAnsiTheme="minorHAnsi"/>
                <w:color w:val="0B0C0C"/>
              </w:rPr>
              <w:t>The iPads will also be used to deliver after school “Catch Up” lessons in a less formal way through quizzes, games and fun activities when after school provision is permissible. The reasoning behind this approach is to foster an atmosphere that promotes well-being and engages the children.</w:t>
            </w:r>
          </w:p>
          <w:p w:rsidR="00D10564" w:rsidRDefault="00D10564" w:rsidP="00D10564">
            <w:pPr>
              <w:pBdr>
                <w:top w:val="nil"/>
                <w:left w:val="nil"/>
                <w:bottom w:val="nil"/>
                <w:right w:val="nil"/>
                <w:between w:val="nil"/>
              </w:pBdr>
              <w:shd w:val="clear" w:color="auto" w:fill="FFFFFF"/>
              <w:rPr>
                <w:rFonts w:ascii="Arial" w:eastAsia="Arial" w:hAnsi="Arial" w:cs="Arial"/>
                <w:color w:val="0B0C0C"/>
                <w:sz w:val="29"/>
                <w:szCs w:val="29"/>
              </w:rPr>
            </w:pPr>
          </w:p>
        </w:tc>
      </w:tr>
    </w:tbl>
    <w:p w:rsidR="00C213EE" w:rsidRDefault="00C213EE">
      <w:pPr>
        <w:rPr>
          <w:sz w:val="16"/>
          <w:szCs w:val="16"/>
        </w:rPr>
      </w:pPr>
    </w:p>
    <w:tbl>
      <w:tblPr>
        <w:tblStyle w:val="a1"/>
        <w:tblW w:w="15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45"/>
      </w:tblGrid>
      <w:tr w:rsidR="00C213EE" w:rsidTr="00595E0F">
        <w:tc>
          <w:tcPr>
            <w:tcW w:w="15417" w:type="dxa"/>
            <w:gridSpan w:val="2"/>
            <w:shd w:val="clear" w:color="auto" w:fill="4F81BD" w:themeFill="accent1"/>
            <w:tcMar>
              <w:top w:w="57" w:type="dxa"/>
              <w:bottom w:w="57" w:type="dxa"/>
            </w:tcMar>
          </w:tcPr>
          <w:p w:rsidR="00C213EE" w:rsidRDefault="006B0B49">
            <w:pPr>
              <w:rPr>
                <w:b/>
                <w:color w:val="FFFFFF"/>
                <w:sz w:val="24"/>
                <w:szCs w:val="24"/>
              </w:rPr>
            </w:pPr>
            <w:r>
              <w:rPr>
                <w:b/>
                <w:color w:val="FFFFFF"/>
                <w:sz w:val="24"/>
                <w:szCs w:val="24"/>
              </w:rPr>
              <w:lastRenderedPageBreak/>
              <w:t>Identified impact of lockdown</w:t>
            </w:r>
          </w:p>
        </w:tc>
      </w:tr>
      <w:tr w:rsidR="00C213EE">
        <w:tc>
          <w:tcPr>
            <w:tcW w:w="1271" w:type="dxa"/>
            <w:tcMar>
              <w:top w:w="57" w:type="dxa"/>
              <w:bottom w:w="57" w:type="dxa"/>
            </w:tcMar>
          </w:tcPr>
          <w:p w:rsidR="00C213EE" w:rsidRDefault="00C213EE">
            <w:pPr>
              <w:tabs>
                <w:tab w:val="left" w:pos="75"/>
              </w:tabs>
              <w:rPr>
                <w:b/>
              </w:rPr>
            </w:pPr>
          </w:p>
          <w:p w:rsidR="00C213EE" w:rsidRDefault="006B0B49">
            <w:pPr>
              <w:tabs>
                <w:tab w:val="left" w:pos="75"/>
              </w:tabs>
              <w:rPr>
                <w:b/>
              </w:rPr>
            </w:pPr>
            <w:r>
              <w:rPr>
                <w:b/>
              </w:rPr>
              <w:t>Maths</w:t>
            </w:r>
          </w:p>
        </w:tc>
        <w:tc>
          <w:tcPr>
            <w:tcW w:w="14146" w:type="dxa"/>
          </w:tcPr>
          <w:p w:rsidR="00C213EE" w:rsidRDefault="00C213EE"/>
          <w:p w:rsidR="00C213EE" w:rsidRDefault="006B0B49">
            <w:r>
              <w:t xml:space="preserve">Specific content has been missed, leading to gaps in learning and stalled sequencing of journeys. Children still have an appetite for maths and lockdown has not affected their attitudes however they are quite simply, ‘behind’. </w:t>
            </w:r>
          </w:p>
          <w:p w:rsidR="00C213EE" w:rsidRDefault="006B0B49">
            <w:r>
              <w:t>Recall of basic skills has suffered – children are not able to recall addition facts, times tables and have forgotten once taught calculation strategies. This is reflected in arithmetic assessments.</w:t>
            </w:r>
          </w:p>
          <w:p w:rsidR="00D10564" w:rsidRDefault="00D10564">
            <w:r>
              <w:t>The use of I-pads will enable pupils to participate in Maths Cat</w:t>
            </w:r>
            <w:r w:rsidR="00ED3649">
              <w:t>c</w:t>
            </w:r>
            <w:r>
              <w:t xml:space="preserve">h-Up using sites such as Purple Mash, </w:t>
            </w:r>
            <w:proofErr w:type="gramStart"/>
            <w:r>
              <w:t>RM  Maths</w:t>
            </w:r>
            <w:proofErr w:type="gramEnd"/>
            <w:r>
              <w:t>, Rock Star Time Tables etc.</w:t>
            </w:r>
          </w:p>
          <w:p w:rsidR="00A63F94" w:rsidRDefault="00A63F94"/>
          <w:p w:rsidR="00C213EE" w:rsidRDefault="00C213EE" w:rsidP="00A63F94"/>
        </w:tc>
      </w:tr>
      <w:tr w:rsidR="00C213EE">
        <w:tc>
          <w:tcPr>
            <w:tcW w:w="1271" w:type="dxa"/>
            <w:tcMar>
              <w:top w:w="57" w:type="dxa"/>
              <w:bottom w:w="57" w:type="dxa"/>
            </w:tcMar>
          </w:tcPr>
          <w:p w:rsidR="00C213EE" w:rsidRDefault="00C213EE">
            <w:pPr>
              <w:tabs>
                <w:tab w:val="left" w:pos="75"/>
              </w:tabs>
              <w:rPr>
                <w:b/>
              </w:rPr>
            </w:pPr>
          </w:p>
          <w:p w:rsidR="00C213EE" w:rsidRDefault="006B0B49">
            <w:pPr>
              <w:tabs>
                <w:tab w:val="left" w:pos="75"/>
              </w:tabs>
              <w:rPr>
                <w:b/>
              </w:rPr>
            </w:pPr>
            <w:r>
              <w:rPr>
                <w:b/>
              </w:rPr>
              <w:t>Writing</w:t>
            </w:r>
          </w:p>
        </w:tc>
        <w:tc>
          <w:tcPr>
            <w:tcW w:w="14146" w:type="dxa"/>
          </w:tcPr>
          <w:p w:rsidR="00C213EE" w:rsidRDefault="00C213EE"/>
          <w:p w:rsidR="00C213EE" w:rsidRDefault="006B0B49">
            <w:r>
              <w:t>Children haven’t necessarily missed ‘units’ of learning in the same way as Maths, however they have lost essential practising of writing skills. GAPs specific knowledge has suffered, leading to lack of fluency in writing. Those who have maintained writing throughout lockdown are less affected, however those who evidently didn’t write much have had to work additionally hard on writing stamina and improving their motivation due to the lack of fluency in their ability to write.</w:t>
            </w:r>
          </w:p>
          <w:p w:rsidR="00C213EE" w:rsidRDefault="005A2C88">
            <w:r>
              <w:t>The use of I-pads will enable pupils to participate in SeeSaw based writing activities both in class and at home when self-isolating.</w:t>
            </w:r>
          </w:p>
        </w:tc>
      </w:tr>
      <w:tr w:rsidR="00C213EE">
        <w:tc>
          <w:tcPr>
            <w:tcW w:w="1271" w:type="dxa"/>
            <w:tcMar>
              <w:top w:w="57" w:type="dxa"/>
              <w:bottom w:w="57" w:type="dxa"/>
            </w:tcMar>
          </w:tcPr>
          <w:p w:rsidR="00C213EE" w:rsidRDefault="00C213EE">
            <w:pPr>
              <w:tabs>
                <w:tab w:val="left" w:pos="75"/>
              </w:tabs>
              <w:rPr>
                <w:b/>
              </w:rPr>
            </w:pPr>
          </w:p>
          <w:p w:rsidR="00C213EE" w:rsidRDefault="006B0B49">
            <w:pPr>
              <w:tabs>
                <w:tab w:val="left" w:pos="75"/>
              </w:tabs>
              <w:rPr>
                <w:b/>
              </w:rPr>
            </w:pPr>
            <w:r>
              <w:rPr>
                <w:b/>
              </w:rPr>
              <w:t>Reading</w:t>
            </w:r>
          </w:p>
        </w:tc>
        <w:tc>
          <w:tcPr>
            <w:tcW w:w="14146" w:type="dxa"/>
          </w:tcPr>
          <w:p w:rsidR="00C213EE" w:rsidRDefault="00C213EE"/>
          <w:p w:rsidR="005A2C88" w:rsidRDefault="006B0B49">
            <w:r>
              <w:t>Children accessed reading during lockdown more than any other subject. This is something that was more accessible for families and required less teacher input. However, children are less fluent in their reading and the gap between those children that read widely and those children who don’t is now increasingly wide. The bottom 20% of readers have been disproportionately</w:t>
            </w:r>
            <w:r w:rsidR="005A2C88">
              <w:t>.</w:t>
            </w:r>
          </w:p>
          <w:p w:rsidR="00C213EE" w:rsidRDefault="005A2C88">
            <w:r>
              <w:t>The use of I-pads will enable pupils to participate in Reading Comprehension and VIPERS activities set by class teachers</w:t>
            </w:r>
            <w:r w:rsidR="006B0B49">
              <w:t xml:space="preserve"> </w:t>
            </w:r>
            <w:r>
              <w:t>both in class and at home when self-isolating.</w:t>
            </w:r>
          </w:p>
          <w:p w:rsidR="00C213EE" w:rsidRDefault="00C213EE"/>
        </w:tc>
      </w:tr>
      <w:tr w:rsidR="00C213EE">
        <w:tc>
          <w:tcPr>
            <w:tcW w:w="1271" w:type="dxa"/>
            <w:tcMar>
              <w:top w:w="57" w:type="dxa"/>
              <w:bottom w:w="57" w:type="dxa"/>
            </w:tcMar>
          </w:tcPr>
          <w:p w:rsidR="00C213EE" w:rsidRDefault="00C213EE">
            <w:pPr>
              <w:tabs>
                <w:tab w:val="left" w:pos="75"/>
              </w:tabs>
              <w:rPr>
                <w:b/>
              </w:rPr>
            </w:pPr>
          </w:p>
          <w:p w:rsidR="00C213EE" w:rsidRDefault="006B0B49">
            <w:pPr>
              <w:tabs>
                <w:tab w:val="left" w:pos="75"/>
              </w:tabs>
              <w:rPr>
                <w:b/>
              </w:rPr>
            </w:pPr>
            <w:r>
              <w:rPr>
                <w:b/>
              </w:rPr>
              <w:t>Non-core</w:t>
            </w:r>
          </w:p>
        </w:tc>
        <w:tc>
          <w:tcPr>
            <w:tcW w:w="14146" w:type="dxa"/>
          </w:tcPr>
          <w:p w:rsidR="00C213EE" w:rsidRDefault="00C213EE"/>
          <w:p w:rsidR="00C213EE" w:rsidRDefault="006B0B49">
            <w:r>
              <w:t>There are now significant gaps in knowledge – whole units of work have not been taught meaning that children are less able to access pre-requisite knowledge when learning something new and they are less likely to make connections between concepts and themes throughout the curriculum. Children have also missed out on the curriculum experiences e.g. trips, visitors and powerful curriculum moments.</w:t>
            </w:r>
          </w:p>
          <w:p w:rsidR="005A2C88" w:rsidRDefault="005A2C88" w:rsidP="005A2C88">
            <w:r>
              <w:t>The use of I-pads will enable pupils to participate in Foundation Subject activities set by class teachers both in class and at home when self-isolating.</w:t>
            </w:r>
          </w:p>
          <w:p w:rsidR="005A2C88" w:rsidRDefault="005A2C88"/>
          <w:p w:rsidR="00C213EE" w:rsidRDefault="00C213EE"/>
        </w:tc>
      </w:tr>
    </w:tbl>
    <w:p w:rsidR="00A63F94" w:rsidRDefault="00A63F94"/>
    <w:p w:rsidR="00C213EE" w:rsidRDefault="006B0B49">
      <w:r>
        <w:br w:type="page"/>
      </w:r>
    </w:p>
    <w:tbl>
      <w:tblPr>
        <w:tblStyle w:val="a2"/>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990"/>
        <w:gridCol w:w="3078"/>
        <w:gridCol w:w="1094"/>
        <w:gridCol w:w="1178"/>
      </w:tblGrid>
      <w:tr w:rsidR="00C213EE" w:rsidTr="00C9208B">
        <w:tc>
          <w:tcPr>
            <w:tcW w:w="15126" w:type="dxa"/>
            <w:gridSpan w:val="5"/>
            <w:shd w:val="clear" w:color="auto" w:fill="4F81BD" w:themeFill="accent1"/>
            <w:tcMar>
              <w:top w:w="57" w:type="dxa"/>
              <w:bottom w:w="57" w:type="dxa"/>
            </w:tcMar>
          </w:tcPr>
          <w:p w:rsidR="00C213EE" w:rsidRDefault="006B0B49" w:rsidP="00C9208B">
            <w:pPr>
              <w:rPr>
                <w:color w:val="FFFFFF"/>
                <w:sz w:val="20"/>
                <w:szCs w:val="20"/>
              </w:rPr>
            </w:pPr>
            <w:r>
              <w:rPr>
                <w:b/>
                <w:color w:val="FFFFFF"/>
              </w:rPr>
              <w:lastRenderedPageBreak/>
              <w:t xml:space="preserve">Planned expenditure </w:t>
            </w:r>
          </w:p>
        </w:tc>
      </w:tr>
      <w:tr w:rsidR="00C213EE">
        <w:tc>
          <w:tcPr>
            <w:tcW w:w="15126" w:type="dxa"/>
            <w:gridSpan w:val="5"/>
            <w:shd w:val="clear" w:color="auto" w:fill="D9D9D9"/>
            <w:tcMar>
              <w:top w:w="57" w:type="dxa"/>
              <w:bottom w:w="57" w:type="dxa"/>
            </w:tcMar>
          </w:tcPr>
          <w:p w:rsidR="00C213EE" w:rsidRDefault="006B0B49">
            <w:pPr>
              <w:numPr>
                <w:ilvl w:val="0"/>
                <w:numId w:val="3"/>
              </w:numPr>
              <w:pBdr>
                <w:top w:val="nil"/>
                <w:left w:val="nil"/>
                <w:bottom w:val="nil"/>
                <w:right w:val="nil"/>
                <w:between w:val="nil"/>
              </w:pBdr>
              <w:ind w:left="426" w:hanging="142"/>
              <w:rPr>
                <w:b/>
                <w:color w:val="000000"/>
                <w:sz w:val="20"/>
                <w:szCs w:val="20"/>
              </w:rPr>
            </w:pPr>
            <w:r>
              <w:rPr>
                <w:b/>
                <w:color w:val="000000"/>
                <w:sz w:val="20"/>
                <w:szCs w:val="20"/>
              </w:rPr>
              <w:t>Teaching and whole-school strategies</w:t>
            </w:r>
          </w:p>
        </w:tc>
      </w:tr>
      <w:tr w:rsidR="00C213EE" w:rsidTr="00C9208B">
        <w:trPr>
          <w:trHeight w:val="289"/>
        </w:trPr>
        <w:tc>
          <w:tcPr>
            <w:tcW w:w="4786" w:type="dxa"/>
            <w:tcMar>
              <w:top w:w="57" w:type="dxa"/>
              <w:bottom w:w="57" w:type="dxa"/>
            </w:tcMar>
          </w:tcPr>
          <w:p w:rsidR="00C213EE" w:rsidRDefault="006B0B49">
            <w:pPr>
              <w:rPr>
                <w:b/>
                <w:sz w:val="20"/>
                <w:szCs w:val="20"/>
              </w:rPr>
            </w:pPr>
            <w:r>
              <w:rPr>
                <w:b/>
                <w:sz w:val="20"/>
                <w:szCs w:val="20"/>
              </w:rPr>
              <w:t>Desired outcome</w:t>
            </w:r>
          </w:p>
        </w:tc>
        <w:tc>
          <w:tcPr>
            <w:tcW w:w="4990" w:type="dxa"/>
            <w:tcMar>
              <w:top w:w="57" w:type="dxa"/>
              <w:bottom w:w="57" w:type="dxa"/>
            </w:tcMar>
          </w:tcPr>
          <w:p w:rsidR="00C213EE" w:rsidRDefault="006B0B49">
            <w:pPr>
              <w:rPr>
                <w:b/>
                <w:sz w:val="20"/>
                <w:szCs w:val="20"/>
              </w:rPr>
            </w:pPr>
            <w:r>
              <w:rPr>
                <w:b/>
                <w:sz w:val="20"/>
                <w:szCs w:val="20"/>
              </w:rPr>
              <w:t>Chosen approach and anticipated cost</w:t>
            </w:r>
          </w:p>
        </w:tc>
        <w:tc>
          <w:tcPr>
            <w:tcW w:w="3078" w:type="dxa"/>
            <w:shd w:val="clear" w:color="auto" w:fill="auto"/>
            <w:tcMar>
              <w:top w:w="57" w:type="dxa"/>
              <w:bottom w:w="57" w:type="dxa"/>
            </w:tcMar>
          </w:tcPr>
          <w:p w:rsidR="00C213EE" w:rsidRDefault="006B0B49">
            <w:pPr>
              <w:rPr>
                <w:b/>
                <w:sz w:val="20"/>
                <w:szCs w:val="20"/>
              </w:rPr>
            </w:pPr>
            <w:r>
              <w:rPr>
                <w:b/>
                <w:sz w:val="20"/>
                <w:szCs w:val="20"/>
              </w:rPr>
              <w:t>Impact (once reviewed)</w:t>
            </w:r>
          </w:p>
        </w:tc>
        <w:tc>
          <w:tcPr>
            <w:tcW w:w="1094" w:type="dxa"/>
            <w:shd w:val="clear" w:color="auto" w:fill="auto"/>
            <w:tcMar>
              <w:top w:w="57" w:type="dxa"/>
              <w:bottom w:w="57" w:type="dxa"/>
            </w:tcMar>
          </w:tcPr>
          <w:p w:rsidR="00C213EE" w:rsidRDefault="006B0B49">
            <w:pPr>
              <w:rPr>
                <w:b/>
                <w:sz w:val="20"/>
                <w:szCs w:val="20"/>
              </w:rPr>
            </w:pPr>
            <w:r>
              <w:rPr>
                <w:b/>
                <w:sz w:val="20"/>
                <w:szCs w:val="20"/>
              </w:rPr>
              <w:t>Staff lead</w:t>
            </w:r>
          </w:p>
        </w:tc>
        <w:tc>
          <w:tcPr>
            <w:tcW w:w="1178" w:type="dxa"/>
          </w:tcPr>
          <w:p w:rsidR="00C213EE" w:rsidRDefault="006B0B49">
            <w:pPr>
              <w:rPr>
                <w:b/>
                <w:sz w:val="20"/>
                <w:szCs w:val="20"/>
              </w:rPr>
            </w:pPr>
            <w:r>
              <w:rPr>
                <w:b/>
                <w:sz w:val="20"/>
                <w:szCs w:val="20"/>
              </w:rPr>
              <w:t>Review date?</w:t>
            </w:r>
          </w:p>
        </w:tc>
      </w:tr>
    </w:tbl>
    <w:tbl>
      <w:tblPr>
        <w:tblStyle w:val="a4"/>
        <w:tblW w:w="151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4990"/>
        <w:gridCol w:w="3119"/>
        <w:gridCol w:w="1105"/>
        <w:gridCol w:w="1126"/>
      </w:tblGrid>
      <w:tr w:rsidR="00C213EE" w:rsidTr="00C9208B">
        <w:tc>
          <w:tcPr>
            <w:tcW w:w="4791" w:type="dxa"/>
            <w:tcMar>
              <w:top w:w="57" w:type="dxa"/>
              <w:bottom w:w="57" w:type="dxa"/>
            </w:tcMar>
          </w:tcPr>
          <w:p w:rsidR="00C213EE" w:rsidRDefault="006B0B49">
            <w:pPr>
              <w:rPr>
                <w:sz w:val="20"/>
                <w:szCs w:val="20"/>
                <w:u w:val="single"/>
              </w:rPr>
            </w:pPr>
            <w:r>
              <w:rPr>
                <w:sz w:val="20"/>
                <w:szCs w:val="20"/>
                <w:u w:val="single"/>
              </w:rPr>
              <w:t xml:space="preserve">Access to technology </w:t>
            </w:r>
          </w:p>
          <w:p w:rsidR="00C213EE" w:rsidRDefault="00C213EE">
            <w:pPr>
              <w:rPr>
                <w:sz w:val="20"/>
                <w:szCs w:val="20"/>
              </w:rPr>
            </w:pPr>
          </w:p>
          <w:p w:rsidR="00C213EE" w:rsidRDefault="006B0B49">
            <w:pPr>
              <w:rPr>
                <w:sz w:val="20"/>
                <w:szCs w:val="20"/>
              </w:rPr>
            </w:pPr>
            <w:r>
              <w:rPr>
                <w:sz w:val="20"/>
                <w:szCs w:val="20"/>
              </w:rPr>
              <w:t xml:space="preserve">During the catch-up extended school provision, children can access additional devices so that they can rotate through discrete teaching, reading fluency and independent online activities. </w:t>
            </w:r>
          </w:p>
          <w:p w:rsidR="00C213EE" w:rsidRDefault="00C213EE">
            <w:pPr>
              <w:rPr>
                <w:sz w:val="20"/>
                <w:szCs w:val="20"/>
              </w:rPr>
            </w:pPr>
          </w:p>
          <w:p w:rsidR="00C13A1C" w:rsidRDefault="00C13A1C">
            <w:pPr>
              <w:rPr>
                <w:sz w:val="20"/>
                <w:szCs w:val="20"/>
              </w:rPr>
            </w:pPr>
          </w:p>
          <w:p w:rsidR="00C13A1C" w:rsidRDefault="00C13A1C">
            <w:pPr>
              <w:rPr>
                <w:sz w:val="20"/>
                <w:szCs w:val="20"/>
              </w:rPr>
            </w:pPr>
            <w:r>
              <w:rPr>
                <w:sz w:val="20"/>
                <w:szCs w:val="20"/>
              </w:rPr>
              <w:t xml:space="preserve">When lockdown restrictions allow, after-school Catch-Up lessons will resume </w:t>
            </w:r>
            <w:proofErr w:type="gramStart"/>
            <w:r>
              <w:rPr>
                <w:sz w:val="20"/>
                <w:szCs w:val="20"/>
              </w:rPr>
              <w:t>to facilitate</w:t>
            </w:r>
            <w:proofErr w:type="gramEnd"/>
            <w:r>
              <w:rPr>
                <w:sz w:val="20"/>
                <w:szCs w:val="20"/>
              </w:rPr>
              <w:t xml:space="preserve"> staff to focus learning on areas of work missed as identified in NFER baseline assessments in September 2020.</w:t>
            </w:r>
          </w:p>
          <w:p w:rsidR="00C213EE" w:rsidRDefault="00C213EE">
            <w:pPr>
              <w:rPr>
                <w:sz w:val="20"/>
                <w:szCs w:val="20"/>
              </w:rPr>
            </w:pPr>
          </w:p>
          <w:p w:rsidR="00C213EE" w:rsidRDefault="00C213EE" w:rsidP="00ED3649">
            <w:pPr>
              <w:rPr>
                <w:sz w:val="20"/>
                <w:szCs w:val="20"/>
              </w:rPr>
            </w:pPr>
          </w:p>
        </w:tc>
        <w:tc>
          <w:tcPr>
            <w:tcW w:w="4990" w:type="dxa"/>
            <w:tcMar>
              <w:top w:w="57" w:type="dxa"/>
              <w:bottom w:w="57" w:type="dxa"/>
            </w:tcMar>
          </w:tcPr>
          <w:p w:rsidR="00C213EE" w:rsidRDefault="00C213EE">
            <w:pPr>
              <w:pBdr>
                <w:top w:val="nil"/>
                <w:left w:val="nil"/>
                <w:bottom w:val="nil"/>
                <w:right w:val="nil"/>
                <w:between w:val="nil"/>
              </w:pBdr>
              <w:rPr>
                <w:b/>
                <w:i/>
                <w:color w:val="000000"/>
                <w:sz w:val="20"/>
                <w:szCs w:val="20"/>
              </w:rPr>
            </w:pPr>
          </w:p>
          <w:p w:rsidR="00C213EE" w:rsidRDefault="00C213EE">
            <w:pPr>
              <w:pBdr>
                <w:top w:val="nil"/>
                <w:left w:val="nil"/>
                <w:bottom w:val="nil"/>
                <w:right w:val="nil"/>
                <w:between w:val="nil"/>
              </w:pBdr>
              <w:rPr>
                <w:b/>
                <w:i/>
                <w:color w:val="000000"/>
                <w:sz w:val="20"/>
                <w:szCs w:val="20"/>
              </w:rPr>
            </w:pPr>
          </w:p>
          <w:p w:rsidR="00C213EE" w:rsidRDefault="00ED3649">
            <w:pPr>
              <w:pBdr>
                <w:top w:val="nil"/>
                <w:left w:val="nil"/>
                <w:bottom w:val="nil"/>
                <w:right w:val="nil"/>
                <w:between w:val="nil"/>
              </w:pBdr>
              <w:rPr>
                <w:b/>
                <w:i/>
                <w:color w:val="000000"/>
                <w:sz w:val="20"/>
                <w:szCs w:val="20"/>
              </w:rPr>
            </w:pPr>
            <w:r>
              <w:rPr>
                <w:color w:val="000000"/>
                <w:sz w:val="20"/>
                <w:szCs w:val="20"/>
              </w:rPr>
              <w:t>In conjunction with MGL, school has negotiated the purchase of 45 I-Pads for use in school and (on a loan basis) for online home learning</w:t>
            </w:r>
            <w:r w:rsidR="006B0B49">
              <w:rPr>
                <w:b/>
                <w:i/>
                <w:color w:val="000000"/>
                <w:sz w:val="20"/>
                <w:szCs w:val="20"/>
              </w:rPr>
              <w:t>.</w:t>
            </w:r>
          </w:p>
          <w:p w:rsidR="00C213EE" w:rsidRPr="00ED3649" w:rsidRDefault="006B0B49">
            <w:pPr>
              <w:pBdr>
                <w:top w:val="nil"/>
                <w:left w:val="nil"/>
                <w:bottom w:val="nil"/>
                <w:right w:val="nil"/>
                <w:between w:val="nil"/>
              </w:pBdr>
              <w:jc w:val="right"/>
              <w:rPr>
                <w:b/>
                <w:i/>
                <w:sz w:val="20"/>
                <w:szCs w:val="20"/>
              </w:rPr>
            </w:pPr>
            <w:r w:rsidRPr="00ED3649">
              <w:rPr>
                <w:b/>
                <w:i/>
                <w:sz w:val="20"/>
                <w:szCs w:val="20"/>
              </w:rPr>
              <w:t>£15</w:t>
            </w:r>
            <w:r w:rsidR="00ED3649">
              <w:rPr>
                <w:b/>
                <w:i/>
                <w:sz w:val="20"/>
                <w:szCs w:val="20"/>
              </w:rPr>
              <w:t>,</w:t>
            </w:r>
            <w:r w:rsidR="00ED3649" w:rsidRPr="00ED3649">
              <w:rPr>
                <w:b/>
                <w:i/>
                <w:sz w:val="20"/>
                <w:szCs w:val="20"/>
              </w:rPr>
              <w:t>120</w:t>
            </w:r>
          </w:p>
          <w:p w:rsidR="00C213EE" w:rsidRDefault="00C213EE">
            <w:pPr>
              <w:pBdr>
                <w:top w:val="nil"/>
                <w:left w:val="nil"/>
                <w:bottom w:val="nil"/>
                <w:right w:val="nil"/>
                <w:between w:val="nil"/>
              </w:pBdr>
              <w:jc w:val="right"/>
              <w:rPr>
                <w:b/>
                <w:i/>
                <w:color w:val="00B050"/>
                <w:sz w:val="20"/>
                <w:szCs w:val="20"/>
              </w:rPr>
            </w:pPr>
          </w:p>
          <w:p w:rsidR="00C213EE" w:rsidRDefault="00C213EE">
            <w:pPr>
              <w:pBdr>
                <w:top w:val="nil"/>
                <w:left w:val="nil"/>
                <w:bottom w:val="nil"/>
                <w:right w:val="nil"/>
                <w:between w:val="nil"/>
              </w:pBdr>
              <w:jc w:val="right"/>
              <w:rPr>
                <w:b/>
                <w:i/>
                <w:color w:val="000000"/>
                <w:sz w:val="20"/>
                <w:szCs w:val="20"/>
              </w:rPr>
            </w:pPr>
          </w:p>
          <w:p w:rsidR="00C213EE" w:rsidRPr="00C13A1C" w:rsidRDefault="00C13A1C" w:rsidP="00C13A1C">
            <w:pPr>
              <w:pBdr>
                <w:top w:val="nil"/>
                <w:left w:val="nil"/>
                <w:bottom w:val="nil"/>
                <w:right w:val="nil"/>
                <w:between w:val="nil"/>
              </w:pBdr>
              <w:rPr>
                <w:color w:val="FF0000"/>
                <w:sz w:val="20"/>
                <w:szCs w:val="20"/>
              </w:rPr>
            </w:pPr>
            <w:r w:rsidRPr="00C13A1C">
              <w:rPr>
                <w:sz w:val="20"/>
                <w:szCs w:val="20"/>
              </w:rPr>
              <w:t xml:space="preserve">An hour-long Cath-Up lesson will be held for every year group from </w:t>
            </w:r>
            <w:proofErr w:type="spellStart"/>
            <w:r w:rsidRPr="00C13A1C">
              <w:rPr>
                <w:sz w:val="20"/>
                <w:szCs w:val="20"/>
              </w:rPr>
              <w:t>Yr</w:t>
            </w:r>
            <w:proofErr w:type="spellEnd"/>
            <w:r w:rsidRPr="00C13A1C">
              <w:rPr>
                <w:sz w:val="20"/>
                <w:szCs w:val="20"/>
              </w:rPr>
              <w:t xml:space="preserve"> 1 – 6 focusing on areas of learning missed due to lockdown.</w:t>
            </w:r>
            <w:r>
              <w:rPr>
                <w:sz w:val="20"/>
                <w:szCs w:val="20"/>
              </w:rPr>
              <w:t xml:space="preserve">                                                         </w:t>
            </w:r>
            <w:r w:rsidRPr="00C13A1C">
              <w:rPr>
                <w:b/>
                <w:sz w:val="20"/>
                <w:szCs w:val="20"/>
              </w:rPr>
              <w:t>£0</w:t>
            </w:r>
          </w:p>
        </w:tc>
        <w:tc>
          <w:tcPr>
            <w:tcW w:w="3119" w:type="dxa"/>
            <w:tcMar>
              <w:top w:w="57" w:type="dxa"/>
              <w:bottom w:w="57" w:type="dxa"/>
            </w:tcMar>
          </w:tcPr>
          <w:p w:rsidR="00C213EE" w:rsidRDefault="00C213EE">
            <w:pPr>
              <w:rPr>
                <w:sz w:val="20"/>
                <w:szCs w:val="20"/>
              </w:rPr>
            </w:pPr>
          </w:p>
          <w:p w:rsidR="001251CE" w:rsidRDefault="001251CE">
            <w:pPr>
              <w:rPr>
                <w:sz w:val="20"/>
                <w:szCs w:val="20"/>
              </w:rPr>
            </w:pPr>
          </w:p>
          <w:p w:rsidR="001251CE" w:rsidRDefault="001251CE" w:rsidP="001251CE">
            <w:pPr>
              <w:rPr>
                <w:sz w:val="20"/>
                <w:szCs w:val="20"/>
              </w:rPr>
            </w:pPr>
            <w:r>
              <w:rPr>
                <w:sz w:val="20"/>
                <w:szCs w:val="20"/>
              </w:rPr>
              <w:t>There are now enough devices in school for each class to use to conduct independent research and reading in to topics missed during lockdown.</w:t>
            </w:r>
          </w:p>
          <w:p w:rsidR="001251CE" w:rsidRDefault="001251CE" w:rsidP="001251CE">
            <w:pPr>
              <w:rPr>
                <w:sz w:val="20"/>
                <w:szCs w:val="20"/>
              </w:rPr>
            </w:pPr>
          </w:p>
          <w:p w:rsidR="001251CE" w:rsidRDefault="001251CE" w:rsidP="001251CE">
            <w:pPr>
              <w:rPr>
                <w:sz w:val="20"/>
                <w:szCs w:val="20"/>
              </w:rPr>
            </w:pPr>
            <w:r>
              <w:rPr>
                <w:sz w:val="20"/>
                <w:szCs w:val="20"/>
              </w:rPr>
              <w:t>This was abandoned after a half-term, as many staff and families reported that they felt the measure to be counter-productive and children found the extra hour difficult to cope with.</w:t>
            </w:r>
          </w:p>
        </w:tc>
        <w:tc>
          <w:tcPr>
            <w:tcW w:w="1105" w:type="dxa"/>
            <w:tcMar>
              <w:top w:w="57" w:type="dxa"/>
              <w:bottom w:w="57" w:type="dxa"/>
            </w:tcMar>
          </w:tcPr>
          <w:p w:rsidR="00C213EE" w:rsidRDefault="00C213EE">
            <w:pPr>
              <w:rPr>
                <w:sz w:val="20"/>
                <w:szCs w:val="20"/>
              </w:rPr>
            </w:pPr>
          </w:p>
          <w:p w:rsidR="00C213EE" w:rsidRDefault="00C213EE">
            <w:pPr>
              <w:rPr>
                <w:sz w:val="20"/>
                <w:szCs w:val="20"/>
              </w:rPr>
            </w:pPr>
          </w:p>
          <w:p w:rsidR="00C213EE" w:rsidRDefault="006B0B49">
            <w:pPr>
              <w:rPr>
                <w:sz w:val="20"/>
                <w:szCs w:val="20"/>
              </w:rPr>
            </w:pPr>
            <w:r>
              <w:rPr>
                <w:sz w:val="20"/>
                <w:szCs w:val="20"/>
              </w:rPr>
              <w:t>AR</w:t>
            </w:r>
          </w:p>
          <w:p w:rsidR="00C213EE" w:rsidRDefault="00C213EE">
            <w:pPr>
              <w:rPr>
                <w:sz w:val="20"/>
                <w:szCs w:val="20"/>
              </w:rPr>
            </w:pPr>
          </w:p>
          <w:p w:rsidR="00C213EE" w:rsidRDefault="00C213EE">
            <w:pPr>
              <w:rPr>
                <w:sz w:val="20"/>
                <w:szCs w:val="20"/>
              </w:rPr>
            </w:pPr>
          </w:p>
          <w:p w:rsidR="00C213EE" w:rsidRDefault="00C213EE">
            <w:pPr>
              <w:rPr>
                <w:sz w:val="20"/>
                <w:szCs w:val="20"/>
              </w:rPr>
            </w:pPr>
          </w:p>
          <w:p w:rsidR="00C213EE" w:rsidRDefault="00C213EE">
            <w:pPr>
              <w:rPr>
                <w:sz w:val="20"/>
                <w:szCs w:val="20"/>
              </w:rPr>
            </w:pPr>
          </w:p>
          <w:p w:rsidR="00C213EE" w:rsidRDefault="00C213EE">
            <w:pPr>
              <w:rPr>
                <w:sz w:val="20"/>
                <w:szCs w:val="20"/>
              </w:rPr>
            </w:pPr>
          </w:p>
          <w:p w:rsidR="00C213EE" w:rsidRDefault="006B0B49">
            <w:pPr>
              <w:rPr>
                <w:sz w:val="20"/>
                <w:szCs w:val="20"/>
              </w:rPr>
            </w:pPr>
            <w:r>
              <w:rPr>
                <w:sz w:val="20"/>
                <w:szCs w:val="20"/>
              </w:rPr>
              <w:t>AR</w:t>
            </w:r>
          </w:p>
        </w:tc>
        <w:tc>
          <w:tcPr>
            <w:tcW w:w="1126" w:type="dxa"/>
          </w:tcPr>
          <w:p w:rsidR="00C213EE" w:rsidRDefault="00C213EE">
            <w:pPr>
              <w:rPr>
                <w:sz w:val="20"/>
                <w:szCs w:val="20"/>
              </w:rPr>
            </w:pPr>
          </w:p>
          <w:p w:rsidR="00C213EE" w:rsidRDefault="00C213EE">
            <w:pPr>
              <w:rPr>
                <w:sz w:val="20"/>
                <w:szCs w:val="20"/>
              </w:rPr>
            </w:pPr>
          </w:p>
          <w:p w:rsidR="00C213EE" w:rsidRDefault="006B0B49">
            <w:pPr>
              <w:rPr>
                <w:sz w:val="20"/>
                <w:szCs w:val="20"/>
              </w:rPr>
            </w:pPr>
            <w:r>
              <w:rPr>
                <w:sz w:val="20"/>
                <w:szCs w:val="20"/>
              </w:rPr>
              <w:t>Feb 21</w:t>
            </w:r>
          </w:p>
          <w:p w:rsidR="00C213EE" w:rsidRDefault="00C213EE">
            <w:pPr>
              <w:rPr>
                <w:sz w:val="20"/>
                <w:szCs w:val="20"/>
              </w:rPr>
            </w:pPr>
          </w:p>
          <w:p w:rsidR="00C213EE" w:rsidRDefault="00C213EE">
            <w:pPr>
              <w:rPr>
                <w:sz w:val="20"/>
                <w:szCs w:val="20"/>
              </w:rPr>
            </w:pPr>
          </w:p>
          <w:p w:rsidR="00C213EE" w:rsidRDefault="00C213EE">
            <w:pPr>
              <w:rPr>
                <w:sz w:val="20"/>
                <w:szCs w:val="20"/>
              </w:rPr>
            </w:pPr>
          </w:p>
          <w:p w:rsidR="00C213EE" w:rsidRDefault="00C213EE">
            <w:pPr>
              <w:rPr>
                <w:sz w:val="20"/>
                <w:szCs w:val="20"/>
              </w:rPr>
            </w:pPr>
          </w:p>
          <w:p w:rsidR="00C213EE" w:rsidRDefault="00C213EE">
            <w:pPr>
              <w:rPr>
                <w:sz w:val="20"/>
                <w:szCs w:val="20"/>
              </w:rPr>
            </w:pPr>
          </w:p>
          <w:p w:rsidR="00C213EE" w:rsidRDefault="006B0B49">
            <w:pPr>
              <w:rPr>
                <w:sz w:val="20"/>
                <w:szCs w:val="20"/>
              </w:rPr>
            </w:pPr>
            <w:r>
              <w:rPr>
                <w:sz w:val="20"/>
                <w:szCs w:val="20"/>
              </w:rPr>
              <w:t>Feb 21</w:t>
            </w:r>
          </w:p>
        </w:tc>
      </w:tr>
      <w:tr w:rsidR="00C213EE" w:rsidTr="00C9208B">
        <w:tc>
          <w:tcPr>
            <w:tcW w:w="14005" w:type="dxa"/>
            <w:gridSpan w:val="4"/>
            <w:tcMar>
              <w:top w:w="57" w:type="dxa"/>
              <w:bottom w:w="57" w:type="dxa"/>
            </w:tcMar>
          </w:tcPr>
          <w:p w:rsidR="00C213EE" w:rsidRDefault="006B0B49">
            <w:pPr>
              <w:jc w:val="right"/>
              <w:rPr>
                <w:b/>
                <w:sz w:val="20"/>
                <w:szCs w:val="20"/>
              </w:rPr>
            </w:pPr>
            <w:r>
              <w:rPr>
                <w:b/>
                <w:sz w:val="20"/>
                <w:szCs w:val="20"/>
              </w:rPr>
              <w:t>Total budgeted cost</w:t>
            </w:r>
          </w:p>
        </w:tc>
        <w:tc>
          <w:tcPr>
            <w:tcW w:w="1126" w:type="dxa"/>
          </w:tcPr>
          <w:p w:rsidR="00C213EE" w:rsidRPr="00ED3649" w:rsidRDefault="006B0B49" w:rsidP="00ED3649">
            <w:pPr>
              <w:rPr>
                <w:b/>
                <w:sz w:val="20"/>
                <w:szCs w:val="20"/>
              </w:rPr>
            </w:pPr>
            <w:r w:rsidRPr="00ED3649">
              <w:rPr>
                <w:b/>
                <w:sz w:val="20"/>
                <w:szCs w:val="20"/>
              </w:rPr>
              <w:t xml:space="preserve">£ </w:t>
            </w:r>
            <w:r w:rsidR="00ED3649" w:rsidRPr="00ED3649">
              <w:rPr>
                <w:b/>
                <w:sz w:val="20"/>
                <w:szCs w:val="20"/>
              </w:rPr>
              <w:t>15</w:t>
            </w:r>
            <w:r w:rsidRPr="00ED3649">
              <w:rPr>
                <w:b/>
                <w:sz w:val="20"/>
                <w:szCs w:val="20"/>
              </w:rPr>
              <w:t>,</w:t>
            </w:r>
            <w:r w:rsidR="00ED3649" w:rsidRPr="00ED3649">
              <w:rPr>
                <w:b/>
                <w:sz w:val="20"/>
                <w:szCs w:val="20"/>
              </w:rPr>
              <w:t>1</w:t>
            </w:r>
            <w:r w:rsidRPr="00ED3649">
              <w:rPr>
                <w:b/>
                <w:sz w:val="20"/>
                <w:szCs w:val="20"/>
              </w:rPr>
              <w:t>2</w:t>
            </w:r>
            <w:r w:rsidR="00ED3649" w:rsidRPr="00ED3649">
              <w:rPr>
                <w:b/>
                <w:sz w:val="20"/>
                <w:szCs w:val="20"/>
              </w:rPr>
              <w:t>0</w:t>
            </w:r>
          </w:p>
        </w:tc>
      </w:tr>
      <w:tr w:rsidR="00C213EE" w:rsidTr="00C9208B">
        <w:tc>
          <w:tcPr>
            <w:tcW w:w="9781" w:type="dxa"/>
            <w:gridSpan w:val="2"/>
          </w:tcPr>
          <w:p w:rsidR="00C213EE" w:rsidRDefault="00C213EE">
            <w:pPr>
              <w:widowControl w:val="0"/>
              <w:pBdr>
                <w:top w:val="nil"/>
                <w:left w:val="nil"/>
                <w:bottom w:val="nil"/>
                <w:right w:val="nil"/>
                <w:between w:val="nil"/>
              </w:pBdr>
              <w:spacing w:line="276" w:lineRule="auto"/>
              <w:rPr>
                <w:b/>
                <w:sz w:val="20"/>
                <w:szCs w:val="20"/>
              </w:rPr>
            </w:pPr>
          </w:p>
        </w:tc>
        <w:tc>
          <w:tcPr>
            <w:tcW w:w="4224"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rsidR="00C213EE" w:rsidRDefault="006B0B49">
            <w:pPr>
              <w:jc w:val="right"/>
              <w:rPr>
                <w:b/>
                <w:sz w:val="20"/>
                <w:szCs w:val="20"/>
              </w:rPr>
            </w:pPr>
            <w:r>
              <w:rPr>
                <w:b/>
                <w:sz w:val="20"/>
                <w:szCs w:val="20"/>
              </w:rPr>
              <w:t>Cost paid through Covid Catch-Up</w:t>
            </w:r>
          </w:p>
        </w:tc>
        <w:tc>
          <w:tcPr>
            <w:tcW w:w="1126" w:type="dxa"/>
            <w:tcBorders>
              <w:top w:val="single" w:sz="12" w:space="0" w:color="000000"/>
              <w:left w:val="single" w:sz="12" w:space="0" w:color="000000"/>
              <w:bottom w:val="single" w:sz="12" w:space="0" w:color="000000"/>
              <w:right w:val="single" w:sz="12" w:space="0" w:color="000000"/>
            </w:tcBorders>
          </w:tcPr>
          <w:p w:rsidR="00C213EE" w:rsidRPr="00ED3649" w:rsidRDefault="006B0B49" w:rsidP="00ED3649">
            <w:pPr>
              <w:rPr>
                <w:b/>
                <w:sz w:val="20"/>
                <w:szCs w:val="20"/>
              </w:rPr>
            </w:pPr>
            <w:r w:rsidRPr="00ED3649">
              <w:rPr>
                <w:b/>
                <w:sz w:val="20"/>
                <w:szCs w:val="20"/>
              </w:rPr>
              <w:t>£</w:t>
            </w:r>
            <w:r w:rsidR="00ED3649" w:rsidRPr="00ED3649">
              <w:rPr>
                <w:b/>
                <w:sz w:val="20"/>
                <w:szCs w:val="20"/>
              </w:rPr>
              <w:t>15</w:t>
            </w:r>
            <w:r w:rsidRPr="00ED3649">
              <w:rPr>
                <w:b/>
                <w:sz w:val="20"/>
                <w:szCs w:val="20"/>
              </w:rPr>
              <w:t>,</w:t>
            </w:r>
            <w:r w:rsidR="00ED3649" w:rsidRPr="00ED3649">
              <w:rPr>
                <w:b/>
                <w:sz w:val="20"/>
                <w:szCs w:val="20"/>
              </w:rPr>
              <w:t>120</w:t>
            </w:r>
          </w:p>
        </w:tc>
      </w:tr>
      <w:tr w:rsidR="00C213EE" w:rsidTr="00C9208B">
        <w:tc>
          <w:tcPr>
            <w:tcW w:w="9781" w:type="dxa"/>
            <w:gridSpan w:val="2"/>
          </w:tcPr>
          <w:p w:rsidR="00C213EE" w:rsidRPr="00C13A1C" w:rsidRDefault="00ED3649" w:rsidP="00C13A1C">
            <w:pPr>
              <w:widowControl w:val="0"/>
              <w:pBdr>
                <w:top w:val="nil"/>
                <w:left w:val="nil"/>
                <w:bottom w:val="nil"/>
                <w:right w:val="nil"/>
                <w:between w:val="nil"/>
              </w:pBdr>
              <w:spacing w:line="276" w:lineRule="auto"/>
              <w:rPr>
                <w:sz w:val="20"/>
                <w:szCs w:val="20"/>
              </w:rPr>
            </w:pPr>
            <w:r w:rsidRPr="00C13A1C">
              <w:rPr>
                <w:sz w:val="20"/>
                <w:szCs w:val="20"/>
              </w:rPr>
              <w:t>Additional 4 laptops and 8 tablets obtained through a charitable orga</w:t>
            </w:r>
            <w:r w:rsidR="00C13A1C" w:rsidRPr="00C13A1C">
              <w:rPr>
                <w:sz w:val="20"/>
                <w:szCs w:val="20"/>
              </w:rPr>
              <w:t>nisation for use by pupils at no cost to school.</w:t>
            </w:r>
          </w:p>
        </w:tc>
        <w:tc>
          <w:tcPr>
            <w:tcW w:w="4224"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rsidR="00C213EE" w:rsidRDefault="006B0B49">
            <w:pPr>
              <w:jc w:val="right"/>
              <w:rPr>
                <w:b/>
                <w:sz w:val="20"/>
                <w:szCs w:val="20"/>
              </w:rPr>
            </w:pPr>
            <w:r>
              <w:rPr>
                <w:b/>
                <w:sz w:val="20"/>
                <w:szCs w:val="20"/>
              </w:rPr>
              <w:t>Cost paid through charitable donations</w:t>
            </w:r>
          </w:p>
        </w:tc>
        <w:tc>
          <w:tcPr>
            <w:tcW w:w="1126" w:type="dxa"/>
            <w:tcBorders>
              <w:top w:val="single" w:sz="12" w:space="0" w:color="000000"/>
              <w:left w:val="single" w:sz="12" w:space="0" w:color="000000"/>
              <w:bottom w:val="single" w:sz="12" w:space="0" w:color="000000"/>
              <w:right w:val="single" w:sz="12" w:space="0" w:color="000000"/>
            </w:tcBorders>
          </w:tcPr>
          <w:p w:rsidR="00C213EE" w:rsidRPr="00ED3649" w:rsidRDefault="006B0B49" w:rsidP="00ED3649">
            <w:pPr>
              <w:rPr>
                <w:b/>
                <w:sz w:val="20"/>
                <w:szCs w:val="20"/>
              </w:rPr>
            </w:pPr>
            <w:r w:rsidRPr="00ED3649">
              <w:rPr>
                <w:b/>
                <w:sz w:val="20"/>
                <w:szCs w:val="20"/>
              </w:rPr>
              <w:t>£</w:t>
            </w:r>
            <w:r w:rsidR="00ED3649" w:rsidRPr="00ED3649">
              <w:rPr>
                <w:b/>
                <w:sz w:val="20"/>
                <w:szCs w:val="20"/>
              </w:rPr>
              <w:t>0</w:t>
            </w:r>
          </w:p>
        </w:tc>
      </w:tr>
      <w:tr w:rsidR="00C213EE" w:rsidTr="00C9208B">
        <w:tc>
          <w:tcPr>
            <w:tcW w:w="9781" w:type="dxa"/>
            <w:gridSpan w:val="2"/>
          </w:tcPr>
          <w:p w:rsidR="00C213EE" w:rsidRDefault="00C213EE">
            <w:pPr>
              <w:widowControl w:val="0"/>
              <w:pBdr>
                <w:top w:val="nil"/>
                <w:left w:val="nil"/>
                <w:bottom w:val="nil"/>
                <w:right w:val="nil"/>
                <w:between w:val="nil"/>
              </w:pBdr>
              <w:spacing w:line="276" w:lineRule="auto"/>
              <w:rPr>
                <w:b/>
                <w:color w:val="FF0000"/>
                <w:sz w:val="20"/>
                <w:szCs w:val="20"/>
              </w:rPr>
            </w:pPr>
          </w:p>
        </w:tc>
        <w:tc>
          <w:tcPr>
            <w:tcW w:w="4224"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rsidR="00C213EE" w:rsidRDefault="006B0B49">
            <w:pPr>
              <w:jc w:val="right"/>
              <w:rPr>
                <w:b/>
                <w:sz w:val="20"/>
                <w:szCs w:val="20"/>
              </w:rPr>
            </w:pPr>
            <w:r>
              <w:rPr>
                <w:b/>
                <w:sz w:val="20"/>
                <w:szCs w:val="20"/>
              </w:rPr>
              <w:t>Cost paid through school budget</w:t>
            </w:r>
          </w:p>
        </w:tc>
        <w:tc>
          <w:tcPr>
            <w:tcW w:w="1126" w:type="dxa"/>
            <w:tcBorders>
              <w:top w:val="single" w:sz="12" w:space="0" w:color="000000"/>
              <w:left w:val="single" w:sz="12" w:space="0" w:color="000000"/>
              <w:bottom w:val="single" w:sz="12" w:space="0" w:color="000000"/>
              <w:right w:val="single" w:sz="12" w:space="0" w:color="000000"/>
            </w:tcBorders>
          </w:tcPr>
          <w:p w:rsidR="00C213EE" w:rsidRDefault="006B0B49" w:rsidP="00ED3649">
            <w:pPr>
              <w:rPr>
                <w:b/>
                <w:color w:val="FF0000"/>
                <w:sz w:val="20"/>
                <w:szCs w:val="20"/>
              </w:rPr>
            </w:pPr>
            <w:r>
              <w:rPr>
                <w:b/>
                <w:sz w:val="20"/>
                <w:szCs w:val="20"/>
              </w:rPr>
              <w:t>£</w:t>
            </w:r>
            <w:r w:rsidR="00ED3649">
              <w:rPr>
                <w:b/>
                <w:sz w:val="20"/>
                <w:szCs w:val="20"/>
              </w:rPr>
              <w:t>0</w:t>
            </w:r>
          </w:p>
        </w:tc>
      </w:tr>
      <w:tr w:rsidR="00C213EE" w:rsidTr="00C9208B">
        <w:tc>
          <w:tcPr>
            <w:tcW w:w="9781" w:type="dxa"/>
            <w:gridSpan w:val="2"/>
          </w:tcPr>
          <w:p w:rsidR="00C213EE" w:rsidRDefault="00C213EE">
            <w:pPr>
              <w:widowControl w:val="0"/>
              <w:pBdr>
                <w:top w:val="nil"/>
                <w:left w:val="nil"/>
                <w:bottom w:val="nil"/>
                <w:right w:val="nil"/>
                <w:between w:val="nil"/>
              </w:pBdr>
              <w:spacing w:line="276" w:lineRule="auto"/>
              <w:rPr>
                <w:b/>
                <w:color w:val="FF0000"/>
                <w:sz w:val="20"/>
                <w:szCs w:val="20"/>
              </w:rPr>
            </w:pPr>
          </w:p>
        </w:tc>
        <w:tc>
          <w:tcPr>
            <w:tcW w:w="4224" w:type="dxa"/>
            <w:gridSpan w:val="2"/>
            <w:tcBorders>
              <w:top w:val="single" w:sz="12" w:space="0" w:color="000000"/>
              <w:left w:val="single" w:sz="12" w:space="0" w:color="000000"/>
              <w:bottom w:val="single" w:sz="12" w:space="0" w:color="000000"/>
              <w:right w:val="single" w:sz="12" w:space="0" w:color="000000"/>
            </w:tcBorders>
            <w:shd w:val="clear" w:color="auto" w:fill="D9D9D9"/>
            <w:tcMar>
              <w:top w:w="57" w:type="dxa"/>
              <w:bottom w:w="57" w:type="dxa"/>
            </w:tcMar>
          </w:tcPr>
          <w:p w:rsidR="00C213EE" w:rsidRDefault="00C213EE">
            <w:pPr>
              <w:jc w:val="right"/>
              <w:rPr>
                <w:b/>
                <w:sz w:val="20"/>
                <w:szCs w:val="20"/>
              </w:rPr>
            </w:pPr>
          </w:p>
        </w:tc>
        <w:tc>
          <w:tcPr>
            <w:tcW w:w="1126" w:type="dxa"/>
            <w:tcBorders>
              <w:top w:val="single" w:sz="12" w:space="0" w:color="000000"/>
              <w:left w:val="single" w:sz="12" w:space="0" w:color="000000"/>
              <w:bottom w:val="single" w:sz="12" w:space="0" w:color="000000"/>
              <w:right w:val="single" w:sz="12" w:space="0" w:color="000000"/>
            </w:tcBorders>
            <w:shd w:val="clear" w:color="auto" w:fill="D9D9D9"/>
          </w:tcPr>
          <w:p w:rsidR="00C213EE" w:rsidRDefault="00C13A1C">
            <w:pPr>
              <w:rPr>
                <w:b/>
                <w:sz w:val="20"/>
                <w:szCs w:val="20"/>
              </w:rPr>
            </w:pPr>
            <w:r w:rsidRPr="00ED3649">
              <w:rPr>
                <w:b/>
                <w:sz w:val="20"/>
                <w:szCs w:val="20"/>
              </w:rPr>
              <w:t>£15,120</w:t>
            </w:r>
          </w:p>
        </w:tc>
      </w:tr>
    </w:tbl>
    <w:p w:rsidR="00C213EE" w:rsidRDefault="00C213EE">
      <w:pPr>
        <w:rPr>
          <w:sz w:val="18"/>
          <w:szCs w:val="18"/>
        </w:rPr>
      </w:pPr>
    </w:p>
    <w:p w:rsidR="00A63F94" w:rsidRDefault="00A63F94" w:rsidP="00A63F94">
      <w:r>
        <w:t xml:space="preserve">Pupils </w:t>
      </w:r>
      <w:proofErr w:type="gramStart"/>
      <w:r>
        <w:t>were assessed</w:t>
      </w:r>
      <w:proofErr w:type="gramEnd"/>
      <w:r>
        <w:t>: on an ongoing basis in accordance with our Assessment and Feedback policy in all subjects</w:t>
      </w:r>
      <w:r>
        <w:t>;</w:t>
      </w:r>
      <w:r>
        <w:t xml:space="preserve"> by using NFER tests and performance analyses in Maths and </w:t>
      </w:r>
      <w:r>
        <w:t>R</w:t>
      </w:r>
      <w:r>
        <w:t>eading</w:t>
      </w:r>
      <w:r>
        <w:t>;</w:t>
      </w:r>
      <w:r>
        <w:t xml:space="preserve"> and by teacher assessment and tracking in Writing and Non-core subjects on a termly basis to monitor the effect of implementing the </w:t>
      </w:r>
      <w:r>
        <w:t>Catch-Up expenditure plan</w:t>
      </w:r>
      <w:bookmarkStart w:id="0" w:name="_GoBack"/>
      <w:bookmarkEnd w:id="0"/>
      <w:r>
        <w:t>.</w:t>
      </w:r>
    </w:p>
    <w:p w:rsidR="00A63F94" w:rsidRDefault="00A63F94">
      <w:pPr>
        <w:rPr>
          <w:sz w:val="18"/>
          <w:szCs w:val="18"/>
        </w:rPr>
      </w:pPr>
    </w:p>
    <w:sectPr w:rsidR="00A63F94">
      <w:pgSz w:w="16838" w:h="11906" w:orient="landscape"/>
      <w:pgMar w:top="426" w:right="851" w:bottom="142"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D5662"/>
    <w:multiLevelType w:val="multilevel"/>
    <w:tmpl w:val="454CDADC"/>
    <w:lvl w:ilvl="0">
      <w:start w:val="1"/>
      <w:numFmt w:val="decimal"/>
      <w:pStyle w:val="DfESOu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E28633E"/>
    <w:multiLevelType w:val="multilevel"/>
    <w:tmpl w:val="329E2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AC71CD"/>
    <w:multiLevelType w:val="multilevel"/>
    <w:tmpl w:val="3D0A0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6609BF"/>
    <w:multiLevelType w:val="multilevel"/>
    <w:tmpl w:val="43521C6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0376B2"/>
    <w:multiLevelType w:val="multilevel"/>
    <w:tmpl w:val="B07AB6D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3EE"/>
    <w:rsid w:val="001251CE"/>
    <w:rsid w:val="00342B28"/>
    <w:rsid w:val="004F6258"/>
    <w:rsid w:val="00595E0F"/>
    <w:rsid w:val="005A2C88"/>
    <w:rsid w:val="006B0B49"/>
    <w:rsid w:val="00A63F94"/>
    <w:rsid w:val="00C13A1C"/>
    <w:rsid w:val="00C213EE"/>
    <w:rsid w:val="00C9208B"/>
    <w:rsid w:val="00D10564"/>
    <w:rsid w:val="00ED3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0BB6"/>
  <w15:docId w15:val="{F86753B8-7CF7-4E96-8C9C-79A4FD71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F3"/>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5"/>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tabs>
        <w:tab w:val="num" w:pos="720"/>
      </w:tabs>
      <w:overflowPunct w:val="0"/>
      <w:autoSpaceDE w:val="0"/>
      <w:autoSpaceDN w:val="0"/>
      <w:adjustRightInd w:val="0"/>
      <w:spacing w:after="240"/>
      <w:ind w:left="720" w:hanging="72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paragraph" w:styleId="NormalWeb">
    <w:name w:val="Normal (Web)"/>
    <w:basedOn w:val="Normal"/>
    <w:uiPriority w:val="99"/>
    <w:semiHidden/>
    <w:unhideWhenUsed/>
    <w:rsid w:val="00D51B67"/>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WSvYjlEDkB2WPnVXqZPOa+1ug==">AMUW2mWsgqhBKY9fG4X5XZbHI/aqCPLujJFeQowmmqkotcXMYrS7XLoMoLp7yxNqY+RK7pg/s7lAvT/f4flXzL3K1gpD1/u8UTqUeO/VSGLNgQPcTxKGMks=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Mason</dc:creator>
  <cp:lastModifiedBy>Phil Doyle</cp:lastModifiedBy>
  <cp:revision>2</cp:revision>
  <dcterms:created xsi:type="dcterms:W3CDTF">2022-09-08T12:56:00Z</dcterms:created>
  <dcterms:modified xsi:type="dcterms:W3CDTF">2022-09-08T12:56:00Z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0x0101003112E216F25EA04BBEF0EEB63E5F0CAE</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